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3517A" w14:textId="77777777" w:rsidR="007A257F" w:rsidRDefault="00E36344">
      <w:pPr>
        <w:ind w:left="2960" w:right="2980"/>
        <w:rPr>
          <w:sz w:val="2"/>
        </w:rPr>
      </w:pPr>
      <w:r>
        <w:pict w14:anchorId="33A15A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2pt;height:76.7pt">
            <v:imagedata r:id="rId6" o:title=""/>
          </v:shape>
        </w:pict>
      </w:r>
    </w:p>
    <w:p w14:paraId="6259B0BA" w14:textId="77777777" w:rsidR="007A257F" w:rsidRDefault="007A257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257F" w14:paraId="44A7881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5DDAFA1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A1C6A3D" w14:textId="77777777" w:rsidR="007A257F" w:rsidRDefault="00410547">
      <w:pPr>
        <w:spacing w:line="240" w:lineRule="exact"/>
      </w:pPr>
      <w:r>
        <w:t xml:space="preserve"> </w:t>
      </w:r>
    </w:p>
    <w:p w14:paraId="5F24937B" w14:textId="77777777" w:rsidR="007A257F" w:rsidRDefault="007A257F">
      <w:pPr>
        <w:spacing w:after="120" w:line="240" w:lineRule="exact"/>
      </w:pPr>
    </w:p>
    <w:p w14:paraId="193AB00D" w14:textId="77777777" w:rsidR="007A257F" w:rsidRDefault="00410547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MARCHÉ PUBLIC DE TRAVAUX</w:t>
      </w:r>
    </w:p>
    <w:p w14:paraId="7B809871" w14:textId="77777777" w:rsidR="007A257F" w:rsidRDefault="007A257F">
      <w:pPr>
        <w:spacing w:line="240" w:lineRule="exact"/>
      </w:pPr>
    </w:p>
    <w:p w14:paraId="0F653053" w14:textId="77777777" w:rsidR="007A257F" w:rsidRDefault="007A257F">
      <w:pPr>
        <w:spacing w:line="240" w:lineRule="exact"/>
      </w:pPr>
    </w:p>
    <w:p w14:paraId="37FB8AA3" w14:textId="77777777" w:rsidR="007A257F" w:rsidRDefault="007A257F">
      <w:pPr>
        <w:spacing w:line="240" w:lineRule="exact"/>
      </w:pPr>
    </w:p>
    <w:p w14:paraId="480268AE" w14:textId="77777777" w:rsidR="007A257F" w:rsidRDefault="007A257F">
      <w:pPr>
        <w:spacing w:line="240" w:lineRule="exact"/>
      </w:pPr>
    </w:p>
    <w:p w14:paraId="1F76B068" w14:textId="77777777" w:rsidR="007A257F" w:rsidRDefault="007A257F">
      <w:pPr>
        <w:spacing w:line="240" w:lineRule="exact"/>
      </w:pPr>
    </w:p>
    <w:p w14:paraId="275A4D6A" w14:textId="77777777" w:rsidR="007A257F" w:rsidRDefault="007A257F">
      <w:pPr>
        <w:spacing w:line="240" w:lineRule="exact"/>
      </w:pPr>
    </w:p>
    <w:p w14:paraId="4E58A7DC" w14:textId="77777777" w:rsidR="007A257F" w:rsidRDefault="007A257F">
      <w:pPr>
        <w:spacing w:line="240" w:lineRule="exact"/>
      </w:pPr>
    </w:p>
    <w:p w14:paraId="3A2C8049" w14:textId="77777777" w:rsidR="007A257F" w:rsidRDefault="007A257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257F" w:rsidRPr="00E36344" w14:paraId="7E48E9D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842306F" w14:textId="77777777" w:rsidR="007A257F" w:rsidRDefault="00410547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Travaux de remplacement de couverture et mise en conformité du système de désenfumage Bâtiment T1 - Zone Industrielle Portuaire de Blainville-sur-Orne</w:t>
            </w:r>
          </w:p>
        </w:tc>
      </w:tr>
    </w:tbl>
    <w:p w14:paraId="4E3FBCF0" w14:textId="77777777" w:rsidR="007A257F" w:rsidRPr="00D37679" w:rsidRDefault="00410547">
      <w:pPr>
        <w:spacing w:line="240" w:lineRule="exact"/>
        <w:rPr>
          <w:lang w:val="fr-FR"/>
        </w:rPr>
      </w:pPr>
      <w:r w:rsidRPr="00D37679">
        <w:rPr>
          <w:lang w:val="fr-FR"/>
        </w:rPr>
        <w:t xml:space="preserve"> </w:t>
      </w:r>
    </w:p>
    <w:p w14:paraId="7E402950" w14:textId="77777777" w:rsidR="007A257F" w:rsidRPr="00D37679" w:rsidRDefault="007A257F">
      <w:pPr>
        <w:spacing w:line="240" w:lineRule="exact"/>
        <w:rPr>
          <w:lang w:val="fr-FR"/>
        </w:rPr>
      </w:pPr>
    </w:p>
    <w:p w14:paraId="7E7DD200" w14:textId="77777777" w:rsidR="007A257F" w:rsidRPr="00D37679" w:rsidRDefault="007A257F">
      <w:pPr>
        <w:spacing w:line="240" w:lineRule="exact"/>
        <w:rPr>
          <w:lang w:val="fr-FR"/>
        </w:rPr>
      </w:pPr>
    </w:p>
    <w:p w14:paraId="3BEE5897" w14:textId="77777777" w:rsidR="007A257F" w:rsidRPr="00D37679" w:rsidRDefault="007A257F">
      <w:pPr>
        <w:spacing w:line="240" w:lineRule="exact"/>
        <w:rPr>
          <w:lang w:val="fr-FR"/>
        </w:rPr>
      </w:pPr>
    </w:p>
    <w:p w14:paraId="41C965CF" w14:textId="77777777" w:rsidR="007A257F" w:rsidRPr="00D37679" w:rsidRDefault="007A257F">
      <w:pPr>
        <w:spacing w:line="240" w:lineRule="exact"/>
        <w:rPr>
          <w:lang w:val="fr-FR"/>
        </w:rPr>
      </w:pPr>
    </w:p>
    <w:p w14:paraId="66537E94" w14:textId="77777777" w:rsidR="007A257F" w:rsidRPr="00D37679" w:rsidRDefault="007A257F">
      <w:pPr>
        <w:spacing w:after="40" w:line="240" w:lineRule="exact"/>
        <w:rPr>
          <w:lang w:val="fr-FR"/>
        </w:rPr>
      </w:pPr>
    </w:p>
    <w:p w14:paraId="2C2BDF70" w14:textId="77777777" w:rsidR="007A257F" w:rsidRDefault="00410547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A257F" w14:paraId="2BA982E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A634" w14:textId="77777777" w:rsidR="007A257F" w:rsidRDefault="00410547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DC8D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7E3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C111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553C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B125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BAD2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F717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7D6F0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DAE1F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DBB8B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AD00" w14:textId="77777777" w:rsidR="007A257F" w:rsidRDefault="007A257F">
            <w:pPr>
              <w:rPr>
                <w:sz w:val="2"/>
              </w:rPr>
            </w:pPr>
          </w:p>
        </w:tc>
      </w:tr>
      <w:tr w:rsidR="007A257F" w14:paraId="21A8C74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068C" w14:textId="77777777" w:rsidR="007A257F" w:rsidRDefault="007A257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F8A8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23008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6511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725EE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D7DA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3AF79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704D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40E6B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A048D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5B5A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8C7F" w14:textId="77777777" w:rsidR="007A257F" w:rsidRDefault="00410547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7A257F" w14:paraId="4847CD0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16174" w14:textId="77777777" w:rsidR="007A257F" w:rsidRDefault="007A257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929A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1AA0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4F8E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D5DA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7C8D1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AB62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E7D96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92B2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CA123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E99E7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F2C2" w14:textId="77777777" w:rsidR="007A257F" w:rsidRDefault="007A257F">
            <w:pPr>
              <w:rPr>
                <w:sz w:val="2"/>
              </w:rPr>
            </w:pPr>
          </w:p>
        </w:tc>
      </w:tr>
    </w:tbl>
    <w:p w14:paraId="05914323" w14:textId="77777777" w:rsidR="007A257F" w:rsidRDefault="0041054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A257F" w14:paraId="33C6719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5508" w14:textId="77777777" w:rsidR="007A257F" w:rsidRDefault="00410547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DA0A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8C12" w14:textId="77777777" w:rsidR="007A257F" w:rsidRDefault="00410547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F00B300" w14:textId="77777777" w:rsidR="007A257F" w:rsidRDefault="00410547">
      <w:pPr>
        <w:spacing w:line="240" w:lineRule="exact"/>
      </w:pPr>
      <w:r>
        <w:t xml:space="preserve"> </w:t>
      </w:r>
    </w:p>
    <w:p w14:paraId="38DFFE96" w14:textId="77777777" w:rsidR="007A257F" w:rsidRDefault="007A257F">
      <w:pPr>
        <w:spacing w:after="100" w:line="240" w:lineRule="exact"/>
      </w:pPr>
    </w:p>
    <w:p w14:paraId="04369670" w14:textId="77777777" w:rsidR="007A257F" w:rsidRDefault="00410547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3D360747" w14:textId="77777777" w:rsidR="007A257F" w:rsidRDefault="00410547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5CC1F84C" w14:textId="77777777" w:rsidR="007A257F" w:rsidRDefault="00410547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185F5CB8" w14:textId="77777777" w:rsidR="007A257F" w:rsidRDefault="007A257F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7A257F">
          <w:pgSz w:w="11900" w:h="16840"/>
          <w:pgMar w:top="1400" w:right="1140" w:bottom="1440" w:left="1140" w:header="1400" w:footer="1440" w:gutter="0"/>
          <w:cols w:space="708"/>
        </w:sectPr>
      </w:pPr>
    </w:p>
    <w:p w14:paraId="1D74C1E8" w14:textId="77777777" w:rsidR="007A257F" w:rsidRPr="00D37679" w:rsidRDefault="007A257F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257F" w14:paraId="5C7F228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FAA90" w14:textId="77777777" w:rsidR="007A257F" w:rsidRDefault="0041054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257F" w:rsidRPr="00E36344" w14:paraId="0F469C24" w14:textId="77777777">
        <w:trPr>
          <w:trHeight w:val="76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F161" w14:textId="77777777" w:rsidR="007A257F" w:rsidRDefault="007A257F">
            <w:pPr>
              <w:spacing w:line="240" w:lineRule="exact"/>
            </w:pPr>
          </w:p>
          <w:p w14:paraId="2647DE65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50262E50"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B9F76" w14:textId="77777777" w:rsidR="007A257F" w:rsidRDefault="00410547">
            <w:pPr>
              <w:spacing w:before="280" w:after="14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3261" w14:textId="77777777" w:rsidR="007A257F" w:rsidRDefault="00410547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remplacement de couverture et mise en conformité du système de désenfumage Bâtiment T1 - Zone Industrielle Portuaire de Blainville-sur-Orne</w:t>
            </w:r>
          </w:p>
        </w:tc>
      </w:tr>
      <w:tr w:rsidR="007A257F" w14:paraId="2129C8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0CFF2" w14:textId="77777777" w:rsidR="007A257F" w:rsidRPr="00D37679" w:rsidRDefault="007A257F">
            <w:pPr>
              <w:spacing w:line="140" w:lineRule="exact"/>
              <w:rPr>
                <w:sz w:val="14"/>
                <w:lang w:val="fr-FR"/>
              </w:rPr>
            </w:pPr>
          </w:p>
          <w:p w14:paraId="2596399A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63CB8ED9"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95C0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9A132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Procédure adaptée ouverte</w:t>
            </w:r>
          </w:p>
        </w:tc>
      </w:tr>
      <w:tr w:rsidR="007A257F" w14:paraId="6FAE06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EE3E" w14:textId="77777777" w:rsidR="007A257F" w:rsidRDefault="007A257F">
            <w:pPr>
              <w:spacing w:line="140" w:lineRule="exact"/>
              <w:rPr>
                <w:sz w:val="14"/>
              </w:rPr>
            </w:pPr>
          </w:p>
          <w:p w14:paraId="0D91B198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1334083B"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6CB5E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4A301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Marché public</w:t>
            </w:r>
          </w:p>
        </w:tc>
      </w:tr>
      <w:tr w:rsidR="007A257F" w14:paraId="36A53C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8C05" w14:textId="77777777" w:rsidR="007A257F" w:rsidRDefault="007A257F">
            <w:pPr>
              <w:spacing w:line="140" w:lineRule="exact"/>
              <w:rPr>
                <w:sz w:val="14"/>
              </w:rPr>
            </w:pPr>
          </w:p>
          <w:p w14:paraId="0E8F451B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4E2C7A67">
                <v:shape id="_x0000_i1029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D383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103A3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global forfaitaire</w:t>
            </w:r>
          </w:p>
        </w:tc>
      </w:tr>
      <w:tr w:rsidR="007A257F" w14:paraId="3DF4AF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9CA2D" w14:textId="77777777" w:rsidR="007A257F" w:rsidRDefault="007A257F">
            <w:pPr>
              <w:spacing w:line="140" w:lineRule="exact"/>
              <w:rPr>
                <w:sz w:val="14"/>
              </w:rPr>
            </w:pPr>
          </w:p>
          <w:p w14:paraId="046E146A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1B609963">
                <v:shape id="_x0000_i1030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E7EC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122A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7A257F" w14:paraId="5558C0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A33C" w14:textId="77777777" w:rsidR="007A257F" w:rsidRDefault="007A257F">
            <w:pPr>
              <w:spacing w:line="140" w:lineRule="exact"/>
              <w:rPr>
                <w:sz w:val="14"/>
              </w:rPr>
            </w:pPr>
          </w:p>
          <w:p w14:paraId="79F82410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63E927E1">
                <v:shape id="_x0000_i1031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6FFA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8E88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7A257F" w14:paraId="40FDA8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2C66" w14:textId="77777777" w:rsidR="007A257F" w:rsidRDefault="007A257F">
            <w:pPr>
              <w:spacing w:line="180" w:lineRule="exact"/>
              <w:rPr>
                <w:sz w:val="18"/>
              </w:rPr>
            </w:pPr>
          </w:p>
          <w:p w14:paraId="34B71CB9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02ABD66E">
                <v:shape id="_x0000_i1032" type="#_x0000_t75" style="width:17.75pt;height:13.1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AC9C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E0D8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7A257F" w14:paraId="53FE39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A4507" w14:textId="77777777" w:rsidR="007A257F" w:rsidRDefault="007A257F">
            <w:pPr>
              <w:spacing w:line="140" w:lineRule="exact"/>
              <w:rPr>
                <w:sz w:val="14"/>
              </w:rPr>
            </w:pPr>
          </w:p>
          <w:p w14:paraId="16A70698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154DFED3">
                <v:shape id="_x0000_i1033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C206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41A9F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7A257F" w14:paraId="3E8342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7B9C" w14:textId="77777777" w:rsidR="007A257F" w:rsidRDefault="007A257F">
            <w:pPr>
              <w:spacing w:line="140" w:lineRule="exact"/>
              <w:rPr>
                <w:sz w:val="14"/>
              </w:rPr>
            </w:pPr>
          </w:p>
          <w:p w14:paraId="634E00BD" w14:textId="77777777" w:rsidR="007A257F" w:rsidRDefault="00E36344">
            <w:pPr>
              <w:ind w:left="420"/>
              <w:rPr>
                <w:sz w:val="2"/>
              </w:rPr>
            </w:pPr>
            <w:r>
              <w:pict w14:anchorId="6C35955B">
                <v:shape id="_x0000_i1034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302C" w14:textId="77777777" w:rsidR="007A257F" w:rsidRDefault="00410547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D5D6" w14:textId="77777777" w:rsidR="007A257F" w:rsidRDefault="00410547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4C887409" w14:textId="77777777" w:rsidR="007A257F" w:rsidRDefault="007A257F">
      <w:pPr>
        <w:sectPr w:rsidR="007A257F">
          <w:pgSz w:w="11900" w:h="16840"/>
          <w:pgMar w:top="1440" w:right="1160" w:bottom="1440" w:left="1140" w:header="1440" w:footer="1440" w:gutter="0"/>
          <w:cols w:space="708"/>
        </w:sectPr>
      </w:pPr>
    </w:p>
    <w:p w14:paraId="29D85C48" w14:textId="77777777" w:rsidR="007A257F" w:rsidRDefault="00410547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6C58F5EB" w14:textId="77777777" w:rsidR="007A257F" w:rsidRDefault="007A257F">
      <w:pPr>
        <w:spacing w:after="80" w:line="240" w:lineRule="exact"/>
      </w:pPr>
    </w:p>
    <w:p w14:paraId="7D0D602F" w14:textId="4856EBFF" w:rsidR="00D37679" w:rsidRDefault="0041054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221266099" w:history="1">
        <w:r w:rsidR="00D37679"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Identification de l'acheteur</w:t>
        </w:r>
        <w:r w:rsidR="00D37679">
          <w:rPr>
            <w:noProof/>
          </w:rPr>
          <w:tab/>
        </w:r>
        <w:r w:rsidR="00D37679">
          <w:rPr>
            <w:noProof/>
          </w:rPr>
          <w:fldChar w:fldCharType="begin"/>
        </w:r>
        <w:r w:rsidR="00D37679">
          <w:rPr>
            <w:noProof/>
          </w:rPr>
          <w:instrText xml:space="preserve"> PAGEREF _Toc221266099 \h </w:instrText>
        </w:r>
        <w:r w:rsidR="00D37679">
          <w:rPr>
            <w:noProof/>
          </w:rPr>
        </w:r>
        <w:r w:rsidR="00D37679">
          <w:rPr>
            <w:noProof/>
          </w:rPr>
          <w:fldChar w:fldCharType="separate"/>
        </w:r>
        <w:r w:rsidR="00D37679">
          <w:rPr>
            <w:noProof/>
          </w:rPr>
          <w:t>4</w:t>
        </w:r>
        <w:r w:rsidR="00D37679">
          <w:rPr>
            <w:noProof/>
          </w:rPr>
          <w:fldChar w:fldCharType="end"/>
        </w:r>
      </w:hyperlink>
    </w:p>
    <w:p w14:paraId="052FE403" w14:textId="5E9863AE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0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94B0129" w14:textId="64934795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1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D7852F7" w14:textId="5BD79236" w:rsidR="00D37679" w:rsidRDefault="00D3767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2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C13BC1A" w14:textId="4290A657" w:rsidR="00D37679" w:rsidRDefault="00D3767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3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C23FA59" w14:textId="3534DE9E" w:rsidR="00D37679" w:rsidRDefault="00D3767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4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481E6B" w14:textId="54B3447C" w:rsidR="00D37679" w:rsidRDefault="00D3767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5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8C3D2E6" w14:textId="3826D603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6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B7EAE47" w14:textId="56728AFE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7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5F0A2C5" w14:textId="71A0C041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8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BA15C9F" w14:textId="77B8A07E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09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86B1FAB" w14:textId="604279FB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10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0AAD025" w14:textId="6B0882FE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11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3FFD9EE" w14:textId="5C6FAD36" w:rsidR="00D37679" w:rsidRDefault="00D3767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266112" w:history="1">
        <w:r w:rsidRPr="003176F5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_Toc221266112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45CA5FD" w14:textId="19586C09" w:rsidR="007A257F" w:rsidRDefault="00410547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7A257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1158B3B4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2"/>
      <w:bookmarkStart w:id="1" w:name="_Toc221266099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2F2BD3C" w14:textId="77777777" w:rsidR="007A257F" w:rsidRPr="00D37679" w:rsidRDefault="00410547">
      <w:pPr>
        <w:spacing w:line="60" w:lineRule="exact"/>
        <w:rPr>
          <w:sz w:val="6"/>
          <w:lang w:val="fr-FR"/>
        </w:rPr>
      </w:pPr>
      <w:r w:rsidRPr="00D37679">
        <w:rPr>
          <w:lang w:val="fr-FR"/>
        </w:rPr>
        <w:t xml:space="preserve"> </w:t>
      </w:r>
    </w:p>
    <w:p w14:paraId="05526D29" w14:textId="77777777" w:rsidR="007A257F" w:rsidRDefault="00410547">
      <w:pPr>
        <w:pStyle w:val="ParagrapheIndent1"/>
        <w:spacing w:after="240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Chambre de Commerce et d'Industrie Caen Normandie</w:t>
      </w:r>
    </w:p>
    <w:p w14:paraId="46326083" w14:textId="77777777" w:rsidR="007A257F" w:rsidRDefault="00410547">
      <w:pPr>
        <w:pStyle w:val="ParagrapheIndent1"/>
        <w:spacing w:after="240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15AD5849" w14:textId="77777777" w:rsidR="007A257F" w:rsidRDefault="00410547">
      <w:pPr>
        <w:pStyle w:val="ParagrapheIndent1"/>
        <w:spacing w:after="240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Ordonnateur </w:t>
      </w:r>
      <w:r>
        <w:rPr>
          <w:color w:val="000000"/>
          <w:lang w:val="fr-FR"/>
        </w:rPr>
        <w:t>: Monsieur le Président</w:t>
      </w:r>
    </w:p>
    <w:p w14:paraId="3620A211" w14:textId="77777777" w:rsidR="007A257F" w:rsidRDefault="00410547">
      <w:pPr>
        <w:pStyle w:val="ParagrapheIndent1"/>
        <w:spacing w:after="240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1CF62CD6" w14:textId="77777777" w:rsidR="007A257F" w:rsidRDefault="0041054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2B22CC3C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3"/>
      <w:bookmarkStart w:id="3" w:name="_Toc221266100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du co-contractant</w:t>
      </w:r>
      <w:bookmarkEnd w:id="3"/>
    </w:p>
    <w:p w14:paraId="7101E001" w14:textId="77777777" w:rsidR="007A257F" w:rsidRPr="00D37679" w:rsidRDefault="00410547">
      <w:pPr>
        <w:spacing w:line="60" w:lineRule="exact"/>
        <w:rPr>
          <w:sz w:val="6"/>
          <w:lang w:val="fr-FR"/>
        </w:rPr>
      </w:pPr>
      <w:r w:rsidRPr="00D37679">
        <w:rPr>
          <w:lang w:val="fr-FR"/>
        </w:rPr>
        <w:t xml:space="preserve"> </w:t>
      </w:r>
    </w:p>
    <w:p w14:paraId="6FFB67C4" w14:textId="77777777" w:rsidR="007A257F" w:rsidRDefault="00410547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57F" w14:paraId="3C7E27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CF81" w14:textId="77777777" w:rsidR="007A257F" w:rsidRDefault="00E36344">
            <w:pPr>
              <w:rPr>
                <w:sz w:val="2"/>
              </w:rPr>
            </w:pPr>
            <w:r>
              <w:pict w14:anchorId="5EAFB772">
                <v:shape id="_x0000_i1035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D40BC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40F7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A257F" w14:paraId="5E1B03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6EAF9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1342A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09F462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9DF11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F5E5F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F733889" w14:textId="77777777" w:rsidR="007A257F" w:rsidRDefault="00410547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57F" w:rsidRPr="00E36344" w14:paraId="1FD5DE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EBE4" w14:textId="77777777" w:rsidR="007A257F" w:rsidRDefault="00E36344">
            <w:pPr>
              <w:rPr>
                <w:sz w:val="2"/>
              </w:rPr>
            </w:pPr>
            <w:r>
              <w:pict w14:anchorId="161D8621">
                <v:shape id="_x0000_i1036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30B7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3C0BC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A257F" w:rsidRPr="00E36344" w14:paraId="1AE0445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5345A" w14:textId="77777777" w:rsidR="007A257F" w:rsidRDefault="00410547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663D2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14CF64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A50F0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FDBC9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0C19F2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67205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12A8A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4D248D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1E0D9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BDAC5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7D4DA8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B5AEC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BD0FF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4B8713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5CC28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5E10A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0A79FC0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5D6AD" w14:textId="77777777" w:rsidR="007A257F" w:rsidRDefault="00410547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96525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04C78719" w14:textId="77777777" w:rsidR="007A257F" w:rsidRDefault="00410547">
      <w:pPr>
        <w:spacing w:line="100" w:lineRule="exact"/>
        <w:rPr>
          <w:sz w:val="10"/>
        </w:rPr>
      </w:pPr>
      <w:r>
        <w:t xml:space="preserve"> </w:t>
      </w:r>
    </w:p>
    <w:p w14:paraId="75966DAC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26FA440A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6A11047A" w14:textId="77777777" w:rsidR="007A257F" w:rsidRDefault="00410547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57F" w:rsidRPr="00E36344" w14:paraId="3CE709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BC26" w14:textId="77777777" w:rsidR="007A257F" w:rsidRDefault="00E36344">
            <w:pPr>
              <w:rPr>
                <w:sz w:val="2"/>
              </w:rPr>
            </w:pPr>
            <w:r>
              <w:pict w14:anchorId="05AF612E">
                <v:shape id="_x0000_i1037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FD2FF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6EA1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A257F" w:rsidRPr="00E36344" w14:paraId="2CEBFA7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8ED54" w14:textId="77777777" w:rsidR="007A257F" w:rsidRDefault="00410547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57666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749836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3EDFC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DBF13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5B2F3B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7B2DF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5C4E5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2EBEE6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26544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3C44E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C8BD14A" w14:textId="77777777" w:rsidR="007A257F" w:rsidRDefault="007A257F">
      <w:pPr>
        <w:sectPr w:rsidR="007A257F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257F" w14:paraId="66434C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904E9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E3064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5CAF74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1C60B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7601F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4C1289C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515FB" w14:textId="77777777" w:rsidR="007A257F" w:rsidRDefault="00410547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91B8C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E3C4871" w14:textId="77777777" w:rsidR="007A257F" w:rsidRDefault="00410547">
      <w:pPr>
        <w:spacing w:line="100" w:lineRule="exact"/>
        <w:rPr>
          <w:sz w:val="10"/>
        </w:rPr>
      </w:pPr>
      <w:r>
        <w:t xml:space="preserve"> </w:t>
      </w:r>
    </w:p>
    <w:p w14:paraId="69B41D3F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3DD2E004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5DE8C308" w14:textId="77777777" w:rsidR="007A257F" w:rsidRDefault="00410547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A257F" w14:paraId="70F56C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F1FB" w14:textId="77777777" w:rsidR="007A257F" w:rsidRDefault="00E36344">
            <w:pPr>
              <w:rPr>
                <w:sz w:val="2"/>
              </w:rPr>
            </w:pPr>
            <w:r>
              <w:pict w14:anchorId="342FD63D">
                <v:shape id="_x0000_i1038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0F7D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F810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A257F" w14:paraId="4C03C6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DEEE5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278DF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502110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22EC2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8B413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F80D390" w14:textId="77777777" w:rsidR="007A257F" w:rsidRDefault="00410547">
      <w:pPr>
        <w:spacing w:after="100" w:line="240" w:lineRule="exact"/>
      </w:pPr>
      <w:r>
        <w:t xml:space="preserve"> </w:t>
      </w:r>
    </w:p>
    <w:p w14:paraId="2C40EF3D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désigné mandataire</w:t>
      </w:r>
      <w:r>
        <w:rPr>
          <w:color w:val="000000"/>
          <w:lang w:val="fr-FR"/>
        </w:rPr>
        <w:t xml:space="preserve"> :</w:t>
      </w:r>
    </w:p>
    <w:p w14:paraId="5226CC47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4E86EF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7A6D2" w14:textId="77777777" w:rsidR="007A257F" w:rsidRDefault="00E36344">
            <w:pPr>
              <w:rPr>
                <w:sz w:val="2"/>
              </w:rPr>
            </w:pPr>
            <w:r>
              <w:pict w14:anchorId="2A3AA24D">
                <v:shape id="_x0000_i1039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96C3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93D4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99CFAE7" w14:textId="77777777" w:rsidR="007A257F" w:rsidRDefault="004105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3F130F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2785" w14:textId="77777777" w:rsidR="007A257F" w:rsidRDefault="00E36344">
            <w:pPr>
              <w:rPr>
                <w:sz w:val="2"/>
              </w:rPr>
            </w:pPr>
            <w:r>
              <w:pict w14:anchorId="26712A08">
                <v:shape id="_x0000_i1040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2C441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A82A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94F1C73" w14:textId="77777777" w:rsidR="007A257F" w:rsidRDefault="004105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:rsidRPr="00E36344" w14:paraId="6F26CC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5C5E" w14:textId="77777777" w:rsidR="007A257F" w:rsidRDefault="00E36344">
            <w:pPr>
              <w:rPr>
                <w:sz w:val="2"/>
              </w:rPr>
            </w:pPr>
            <w:r>
              <w:pict w14:anchorId="5E664860">
                <v:shape id="_x0000_i1041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B4DE6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62E4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E6FC97F" w14:textId="77777777" w:rsidR="007A257F" w:rsidRPr="00D37679" w:rsidRDefault="00410547">
      <w:pPr>
        <w:spacing w:line="240" w:lineRule="exact"/>
        <w:rPr>
          <w:lang w:val="fr-FR"/>
        </w:rPr>
      </w:pPr>
      <w:r w:rsidRPr="00D376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257F" w:rsidRPr="00E36344" w14:paraId="3DE3310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1E9D2" w14:textId="77777777" w:rsidR="007A257F" w:rsidRDefault="00410547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41194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0E2850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BF630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06ED2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166413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43C88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2F0FF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4DFDB5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EE6D1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98B9D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713C98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A4F1E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9FF87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3A1D8D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FE117" w14:textId="77777777" w:rsidR="007A257F" w:rsidRDefault="00410547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B0D64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7A257F" w14:paraId="4FC90B2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DD903" w14:textId="77777777" w:rsidR="007A257F" w:rsidRDefault="00410547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B04EE" w14:textId="77777777" w:rsidR="007A257F" w:rsidRDefault="007A257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EBED30D" w14:textId="77777777" w:rsidR="007A257F" w:rsidRDefault="00410547">
      <w:pPr>
        <w:spacing w:line="100" w:lineRule="exact"/>
        <w:rPr>
          <w:sz w:val="10"/>
        </w:rPr>
      </w:pPr>
      <w:r>
        <w:t xml:space="preserve"> </w:t>
      </w:r>
    </w:p>
    <w:p w14:paraId="29B396C8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69AC3046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0DC4E16C" w14:textId="77777777" w:rsidR="007A257F" w:rsidRDefault="00410547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p w14:paraId="5508A69A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7EC4EE4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F9B5EB6" w14:textId="77777777" w:rsidR="007A257F" w:rsidRDefault="00410547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68D5CD0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  <w:sectPr w:rsidR="007A257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82E523B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4"/>
      <w:bookmarkStart w:id="5" w:name="_Toc221266101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41583E4" w14:textId="77777777" w:rsidR="007A257F" w:rsidRPr="00D37679" w:rsidRDefault="00410547">
      <w:pPr>
        <w:spacing w:line="60" w:lineRule="exact"/>
        <w:rPr>
          <w:sz w:val="6"/>
          <w:lang w:val="fr-FR"/>
        </w:rPr>
      </w:pPr>
      <w:r w:rsidRPr="00D37679">
        <w:rPr>
          <w:lang w:val="fr-FR"/>
        </w:rPr>
        <w:t xml:space="preserve"> </w:t>
      </w:r>
    </w:p>
    <w:p w14:paraId="38718F3B" w14:textId="77777777" w:rsidR="007A257F" w:rsidRDefault="00410547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6" w:name="ArtL2_AE-3-A4.1"/>
      <w:bookmarkStart w:id="7" w:name="_Toc221266102"/>
      <w:bookmarkEnd w:id="6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3.1 - Objet</w:t>
      </w:r>
      <w:bookmarkEnd w:id="7"/>
    </w:p>
    <w:p w14:paraId="77909642" w14:textId="77777777" w:rsidR="007A257F" w:rsidRDefault="00410547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Le présent Acte d'Engagement concerne </w:t>
      </w:r>
      <w:r>
        <w:rPr>
          <w:color w:val="000000"/>
          <w:lang w:val="fr-FR"/>
        </w:rPr>
        <w:t>:</w:t>
      </w:r>
    </w:p>
    <w:p w14:paraId="00E15B4A" w14:textId="77777777" w:rsidR="007A257F" w:rsidRDefault="00410547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de remplacement de couverture et mise en conformité du système de désenfumage Bâtiment T1 - Zone Industrielle Portuaire de Blainville-sur-Orne</w:t>
      </w:r>
    </w:p>
    <w:p w14:paraId="6077DC5B" w14:textId="77777777" w:rsidR="007A257F" w:rsidRDefault="00410547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2"/>
      <w:bookmarkStart w:id="9" w:name="_Toc221266103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3.2 - Mode de passation</w:t>
      </w:r>
      <w:bookmarkEnd w:id="9"/>
    </w:p>
    <w:p w14:paraId="714D6AEB" w14:textId="77777777" w:rsidR="007A257F" w:rsidRDefault="00410547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la procédure adaptée ouverte. Elle est soumise aux dispositions des articles L. 2123-1 et R. 2123-1 1° du Code de la commande publique.</w:t>
      </w:r>
    </w:p>
    <w:p w14:paraId="420BB933" w14:textId="77777777" w:rsidR="007A257F" w:rsidRDefault="00410547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3"/>
      <w:bookmarkStart w:id="11" w:name="_Toc221266104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3.3 - Forme de contrat</w:t>
      </w:r>
      <w:bookmarkEnd w:id="11"/>
    </w:p>
    <w:p w14:paraId="56CCAEDF" w14:textId="77777777" w:rsidR="007A257F" w:rsidRDefault="0041054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55D7695" w14:textId="77777777" w:rsidR="007A257F" w:rsidRDefault="00410547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NA4.4"/>
      <w:bookmarkStart w:id="13" w:name="_Toc221266105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3.4 - Acceptation CCAP CCTP</w:t>
      </w:r>
      <w:bookmarkEnd w:id="13"/>
    </w:p>
    <w:p w14:paraId="6D9AF63C" w14:textId="2F31DC0E" w:rsidR="007A257F" w:rsidRDefault="00410547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</w:t>
      </w:r>
      <w:r w:rsidR="00D37679">
        <w:rPr>
          <w:color w:val="000000"/>
          <w:lang w:val="fr-FR"/>
        </w:rPr>
        <w:t>n</w:t>
      </w:r>
      <w:r>
        <w:rPr>
          <w:color w:val="000000"/>
          <w:lang w:val="fr-FR"/>
        </w:rPr>
        <w:t>t l'Acte d'Engagement, le candidat consent formellement aux clauses du marché (documents constitutifs du marché, tels que le CCAP, le CCTP et le CCAG).</w:t>
      </w:r>
    </w:p>
    <w:p w14:paraId="6CE56045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4" w:name="ArtL1_AE-3-A5"/>
      <w:bookmarkStart w:id="15" w:name="_Toc221266106"/>
      <w:bookmarkEnd w:id="1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Prix</w:t>
      </w:r>
      <w:bookmarkEnd w:id="15"/>
    </w:p>
    <w:p w14:paraId="36AB164D" w14:textId="77777777" w:rsidR="007A257F" w:rsidRPr="00D37679" w:rsidRDefault="00410547">
      <w:pPr>
        <w:spacing w:line="60" w:lineRule="exact"/>
        <w:rPr>
          <w:sz w:val="6"/>
          <w:lang w:val="fr-FR"/>
        </w:rPr>
      </w:pPr>
      <w:r w:rsidRPr="00D37679">
        <w:rPr>
          <w:lang w:val="fr-FR"/>
        </w:rPr>
        <w:t xml:space="preserve"> </w:t>
      </w:r>
    </w:p>
    <w:p w14:paraId="5C835CB7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b/>
          <w:color w:val="000000"/>
          <w:u w:val="single"/>
          <w:lang w:val="fr-FR"/>
        </w:rPr>
        <w:t>Les prestations seront rémunérées par application du prix global forfaitaire suivant</w:t>
      </w:r>
      <w:r>
        <w:rPr>
          <w:b/>
          <w:color w:val="000000"/>
          <w:lang w:val="fr-FR"/>
        </w:rPr>
        <w:t xml:space="preserve"> :</w:t>
      </w:r>
    </w:p>
    <w:p w14:paraId="3688C308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257F" w14:paraId="43BC74B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EC89F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56E0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A46B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7CEF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D8B0E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A257F" w14:paraId="3BEB7E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BDFC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46E9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34BB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CCD7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24F5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A257F" w14:paraId="2F1B51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A700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98FE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A3AFC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D945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127F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A257F" w14:paraId="045B35D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F5A9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83B32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CF18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B511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A2DBC85" w14:textId="77777777" w:rsidR="007A257F" w:rsidRDefault="00410547">
      <w:pPr>
        <w:spacing w:before="40" w:after="2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07A6095F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6"/>
      <w:bookmarkStart w:id="17" w:name="_Toc221266107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Durée et Délais d'exécution</w:t>
      </w:r>
      <w:bookmarkEnd w:id="17"/>
    </w:p>
    <w:p w14:paraId="07C226D4" w14:textId="77777777" w:rsidR="007A257F" w:rsidRDefault="00410547">
      <w:pPr>
        <w:spacing w:line="60" w:lineRule="exact"/>
        <w:rPr>
          <w:sz w:val="6"/>
        </w:rPr>
      </w:pPr>
      <w:r>
        <w:t xml:space="preserve"> </w:t>
      </w:r>
    </w:p>
    <w:p w14:paraId="3E585806" w14:textId="77777777" w:rsidR="007A257F" w:rsidRDefault="0041054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E35C32E" w14:textId="77777777" w:rsidR="007A257F" w:rsidRDefault="0041054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4F8DB638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8"/>
      <w:bookmarkStart w:id="19" w:name="_Toc221266108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Paiement</w:t>
      </w:r>
      <w:bookmarkEnd w:id="19"/>
    </w:p>
    <w:p w14:paraId="0A945B83" w14:textId="77777777" w:rsidR="007A257F" w:rsidRPr="00D37679" w:rsidRDefault="00410547">
      <w:pPr>
        <w:spacing w:line="60" w:lineRule="exact"/>
        <w:rPr>
          <w:sz w:val="6"/>
          <w:lang w:val="fr-FR"/>
        </w:rPr>
      </w:pPr>
      <w:r w:rsidRPr="00D37679">
        <w:rPr>
          <w:lang w:val="fr-FR"/>
        </w:rPr>
        <w:t xml:space="preserve"> </w:t>
      </w:r>
    </w:p>
    <w:p w14:paraId="788769E8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7DF6E7C2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425EEB2" w14:textId="77777777" w:rsidR="007A257F" w:rsidRDefault="00410547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3E42E7D3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 xml:space="preserve">En cas de groupement, le paiement est effectué sur </w:t>
      </w:r>
      <w:r w:rsidRPr="00D37679">
        <w:rPr>
          <w:color w:val="000000"/>
          <w:sz w:val="16"/>
          <w:u w:val="single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7C4563B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:rsidRPr="00E36344" w14:paraId="053C52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CE156" w14:textId="77777777" w:rsidR="007A257F" w:rsidRDefault="00E36344">
            <w:pPr>
              <w:rPr>
                <w:sz w:val="2"/>
              </w:rPr>
            </w:pPr>
            <w:r>
              <w:pict w14:anchorId="14F3720E">
                <v:shape id="_x0000_i1042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7A27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4292C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62F3615" w14:textId="77777777" w:rsidR="007A257F" w:rsidRPr="00D37679" w:rsidRDefault="00410547">
      <w:pPr>
        <w:spacing w:line="240" w:lineRule="exact"/>
        <w:rPr>
          <w:lang w:val="fr-FR"/>
        </w:rPr>
      </w:pPr>
      <w:r w:rsidRPr="00D3767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:rsidRPr="00E36344" w14:paraId="12B40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AE1B" w14:textId="77777777" w:rsidR="007A257F" w:rsidRDefault="00E36344">
            <w:pPr>
              <w:rPr>
                <w:sz w:val="2"/>
              </w:rPr>
            </w:pPr>
            <w:r>
              <w:pict w14:anchorId="5A6B3B22">
                <v:shape id="_x0000_i1043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F9A1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67BB1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A257F" w:rsidRPr="00E36344" w14:paraId="7803D55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39CA" w14:textId="77777777" w:rsidR="007A257F" w:rsidRPr="00D37679" w:rsidRDefault="007A257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B9B3" w14:textId="77777777" w:rsidR="007A257F" w:rsidRPr="00D37679" w:rsidRDefault="007A257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CE28" w14:textId="77777777" w:rsidR="007A257F" w:rsidRPr="00D37679" w:rsidRDefault="007A257F">
            <w:pPr>
              <w:rPr>
                <w:lang w:val="fr-FR"/>
              </w:rPr>
            </w:pPr>
          </w:p>
        </w:tc>
      </w:tr>
    </w:tbl>
    <w:p w14:paraId="461C0102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F85894F" w14:textId="77777777" w:rsidR="00D37679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B5F8F8E" w14:textId="21A9F0BF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  <w:sectPr w:rsidR="007A257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cr/>
      </w:r>
    </w:p>
    <w:p w14:paraId="5C130EA7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9"/>
      <w:bookmarkStart w:id="21" w:name="_Toc221266109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7 - Avance</w:t>
      </w:r>
      <w:bookmarkEnd w:id="21"/>
    </w:p>
    <w:p w14:paraId="6226153A" w14:textId="77777777" w:rsidR="007A257F" w:rsidRPr="00D37679" w:rsidRDefault="00410547">
      <w:pPr>
        <w:spacing w:line="60" w:lineRule="exact"/>
        <w:rPr>
          <w:sz w:val="6"/>
          <w:lang w:val="fr-FR"/>
        </w:rPr>
      </w:pPr>
      <w:r w:rsidRPr="00D37679">
        <w:rPr>
          <w:lang w:val="fr-FR"/>
        </w:rPr>
        <w:t xml:space="preserve"> </w:t>
      </w:r>
    </w:p>
    <w:p w14:paraId="6A0935DF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Le candidat renonce au bénéfice de l'avance (cocher la case correspondante)</w:t>
      </w:r>
      <w:r>
        <w:rPr>
          <w:color w:val="000000"/>
          <w:lang w:val="fr-FR"/>
        </w:rPr>
        <w:t xml:space="preserve"> :</w:t>
      </w:r>
    </w:p>
    <w:p w14:paraId="7E64AA1D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3F272D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0F45" w14:textId="77777777" w:rsidR="007A257F" w:rsidRDefault="00E36344">
            <w:pPr>
              <w:rPr>
                <w:sz w:val="2"/>
              </w:rPr>
            </w:pPr>
            <w:r>
              <w:pict w14:anchorId="5EC85C18">
                <v:shape id="_x0000_i1044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CA44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8AD1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D1980D6" w14:textId="77777777" w:rsidR="007A257F" w:rsidRDefault="004105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1F4DD0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843C" w14:textId="77777777" w:rsidR="007A257F" w:rsidRDefault="00E36344">
            <w:pPr>
              <w:rPr>
                <w:sz w:val="2"/>
              </w:rPr>
            </w:pPr>
            <w:r>
              <w:pict w14:anchorId="4781EF44">
                <v:shape id="_x0000_i1045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BA41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F1BE3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739DED2" w14:textId="77777777" w:rsidR="007A257F" w:rsidRDefault="00410547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37679">
        <w:rPr>
          <w:b/>
          <w:color w:val="000000"/>
          <w:u w:val="single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225D609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11"/>
      <w:bookmarkStart w:id="23" w:name="_Toc221266110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Nomenclature(s)</w:t>
      </w:r>
      <w:bookmarkEnd w:id="23"/>
    </w:p>
    <w:p w14:paraId="1090F682" w14:textId="77777777" w:rsidR="007A257F" w:rsidRPr="00D37679" w:rsidRDefault="00410547">
      <w:pPr>
        <w:spacing w:line="60" w:lineRule="exact"/>
        <w:rPr>
          <w:sz w:val="6"/>
          <w:lang w:val="fr-FR"/>
        </w:rPr>
      </w:pPr>
      <w:r w:rsidRPr="00D37679">
        <w:rPr>
          <w:lang w:val="fr-FR"/>
        </w:rPr>
        <w:t xml:space="preserve"> </w:t>
      </w:r>
    </w:p>
    <w:p w14:paraId="244D8789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4D554FFC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257F" w14:paraId="7E668D3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5FBF" w14:textId="77777777" w:rsidR="007A257F" w:rsidRDefault="00410547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FD20" w14:textId="77777777" w:rsidR="007A257F" w:rsidRDefault="00410547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7A257F" w:rsidRPr="00E36344" w14:paraId="3581885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5F1A" w14:textId="77777777" w:rsidR="007A257F" w:rsidRDefault="00410547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45261200-6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3B3E" w14:textId="77777777" w:rsidR="007A257F" w:rsidRDefault="00410547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couverture et de peinture de toiture</w:t>
            </w:r>
          </w:p>
        </w:tc>
      </w:tr>
      <w:tr w:rsidR="007A257F" w14:paraId="09AAB6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9B78" w14:textId="77777777" w:rsidR="007A257F" w:rsidRDefault="00410547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42521000-4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11BF7" w14:textId="77777777" w:rsidR="007A257F" w:rsidRDefault="00410547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Matériel de désenfumage</w:t>
            </w:r>
          </w:p>
        </w:tc>
      </w:tr>
    </w:tbl>
    <w:p w14:paraId="752C5D74" w14:textId="77777777" w:rsidR="007A257F" w:rsidRDefault="00410547">
      <w:pPr>
        <w:spacing w:line="240" w:lineRule="exact"/>
      </w:pPr>
      <w:r>
        <w:t xml:space="preserve"> </w:t>
      </w:r>
    </w:p>
    <w:p w14:paraId="420A22BA" w14:textId="77777777" w:rsidR="007A257F" w:rsidRDefault="007A257F">
      <w:pPr>
        <w:spacing w:after="160" w:line="240" w:lineRule="exact"/>
      </w:pPr>
    </w:p>
    <w:p w14:paraId="19E30F84" w14:textId="77777777" w:rsidR="007A257F" w:rsidRDefault="00410547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4"/>
      <w:bookmarkStart w:id="25" w:name="_Toc221266111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Signature</w:t>
      </w:r>
      <w:bookmarkEnd w:id="25"/>
    </w:p>
    <w:p w14:paraId="36D6FB8B" w14:textId="77777777" w:rsidR="007A257F" w:rsidRDefault="00410547">
      <w:pPr>
        <w:spacing w:line="60" w:lineRule="exact"/>
        <w:rPr>
          <w:sz w:val="6"/>
        </w:rPr>
      </w:pPr>
      <w:r>
        <w:t xml:space="preserve"> </w:t>
      </w:r>
    </w:p>
    <w:p w14:paraId="707CCD00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ED15A1B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07AA73C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C6E7227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41E1556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12575E9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5293440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8C65577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BC98461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E86862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F96E10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E003C52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A16EDD4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CAEC844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845A1E9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2612CE1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5038749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369C34E" w14:textId="77777777" w:rsidR="007A257F" w:rsidRDefault="007A257F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16D007FE" w14:textId="77777777" w:rsidR="00D37679" w:rsidRDefault="00D37679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402369DC" w14:textId="77777777" w:rsidR="00D37679" w:rsidRDefault="00D37679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1BF9ED1D" w14:textId="77777777" w:rsidR="00D37679" w:rsidRDefault="00D37679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4876BC07" w14:textId="77777777" w:rsidR="00D37679" w:rsidRDefault="00D37679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07E08F5A" w14:textId="77777777" w:rsidR="00D37679" w:rsidRDefault="00D37679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5B763B43" w14:textId="77777777" w:rsidR="007A257F" w:rsidRDefault="0041054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1CC4E75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E36344">
        <w:rPr>
          <w:color w:val="000000"/>
          <w:u w:val="single"/>
          <w:lang w:val="fr-FR"/>
        </w:rPr>
        <w:t>Le montant global de l'offre acceptée par le pouvoir adjudicateur est porté à</w:t>
      </w:r>
      <w:r>
        <w:rPr>
          <w:color w:val="000000"/>
          <w:lang w:val="fr-FR"/>
        </w:rPr>
        <w:t xml:space="preserve"> :</w:t>
      </w:r>
    </w:p>
    <w:p w14:paraId="034921C0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A257F" w14:paraId="76C452C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C2E1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0EE0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C78BF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11B44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FDE69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A257F" w14:paraId="658B818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DCE7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70A6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44E8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3F63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4A144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A257F" w14:paraId="2D4F28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BB84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80C1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36919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96A8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9C2D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7A257F" w14:paraId="6AA4A20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26F6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7B04" w14:textId="77777777" w:rsidR="007A257F" w:rsidRDefault="00410547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2583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035C" w14:textId="77777777" w:rsidR="007A257F" w:rsidRDefault="00410547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8E9F7C9" w14:textId="77777777" w:rsidR="007A257F" w:rsidRDefault="00410547">
      <w:pPr>
        <w:spacing w:before="40" w:after="2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52D3A7CB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CD9056B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CB19836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4292E40" w14:textId="77777777" w:rsidR="007A257F" w:rsidRDefault="00410547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AE036E6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6A6F3BE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DE17FDD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EF311D5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DFFFC54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0802EB4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08CA9E6" w14:textId="77777777" w:rsidR="007A257F" w:rsidRDefault="007A257F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1F5EB5B9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F6E3388" w14:textId="77777777" w:rsidR="007A257F" w:rsidRDefault="007A257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1BB9A29" w14:textId="77777777" w:rsidR="007A257F" w:rsidRDefault="00410547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37679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62F13A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E1BF" w14:textId="77777777" w:rsidR="007A257F" w:rsidRDefault="00E36344">
            <w:pPr>
              <w:rPr>
                <w:sz w:val="2"/>
              </w:rPr>
            </w:pPr>
            <w:r>
              <w:pict w14:anchorId="5EC4E8C8">
                <v:shape id="_x0000_i1046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247D6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A25B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B0326B9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257F" w14:paraId="70BE431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9DC3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2BB7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D835" w14:textId="77777777" w:rsidR="007A257F" w:rsidRDefault="007A257F"/>
        </w:tc>
      </w:tr>
    </w:tbl>
    <w:p w14:paraId="4E20C164" w14:textId="77777777" w:rsidR="007A257F" w:rsidRDefault="004105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4DA4C4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7F2DE" w14:textId="77777777" w:rsidR="007A257F" w:rsidRDefault="00E36344">
            <w:pPr>
              <w:rPr>
                <w:sz w:val="2"/>
              </w:rPr>
            </w:pPr>
            <w:r>
              <w:pict w14:anchorId="43231BC5">
                <v:shape id="_x0000_i1047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0AD0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9113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FAE52A1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257F" w14:paraId="6356634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9C30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B6D5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B13D" w14:textId="77777777" w:rsidR="007A257F" w:rsidRDefault="007A257F"/>
        </w:tc>
      </w:tr>
    </w:tbl>
    <w:p w14:paraId="042B66C6" w14:textId="77777777" w:rsidR="007A257F" w:rsidRDefault="004105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39738D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7474" w14:textId="77777777" w:rsidR="007A257F" w:rsidRDefault="00E36344">
            <w:pPr>
              <w:rPr>
                <w:sz w:val="2"/>
              </w:rPr>
            </w:pPr>
            <w:r>
              <w:pict w14:anchorId="34ED299C">
                <v:shape id="_x0000_i1048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A344C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1D41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EC011B1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257F" w14:paraId="2935B3D4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2F7E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AC5EC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7BDB5" w14:textId="77777777" w:rsidR="007A257F" w:rsidRDefault="007A257F"/>
        </w:tc>
      </w:tr>
    </w:tbl>
    <w:p w14:paraId="0C409526" w14:textId="77777777" w:rsidR="007A257F" w:rsidRDefault="004105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73C80C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9112" w14:textId="77777777" w:rsidR="007A257F" w:rsidRDefault="00E36344">
            <w:pPr>
              <w:rPr>
                <w:sz w:val="2"/>
              </w:rPr>
            </w:pPr>
            <w:r>
              <w:pict w14:anchorId="096225BC">
                <v:shape id="_x0000_i1049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3735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B3A9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E9B3835" w14:textId="77777777" w:rsidR="007A257F" w:rsidRDefault="00410547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257F" w14:paraId="73E80E8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8C830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BBAB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6DFB" w14:textId="77777777" w:rsidR="007A257F" w:rsidRDefault="007A257F"/>
        </w:tc>
      </w:tr>
    </w:tbl>
    <w:p w14:paraId="28820A71" w14:textId="77777777" w:rsidR="007A257F" w:rsidRDefault="0041054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257F" w14:paraId="5FA698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49EC" w14:textId="77777777" w:rsidR="007A257F" w:rsidRDefault="00E36344">
            <w:pPr>
              <w:rPr>
                <w:sz w:val="2"/>
              </w:rPr>
            </w:pPr>
            <w:r>
              <w:pict w14:anchorId="154E4B88">
                <v:shape id="_x0000_i1050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BB768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32BEC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  <w:p w14:paraId="0AF7CE00" w14:textId="77777777" w:rsidR="00D37679" w:rsidRPr="00D37679" w:rsidRDefault="00D37679" w:rsidP="00D37679">
            <w:pPr>
              <w:rPr>
                <w:lang w:val="fr-FR"/>
              </w:rPr>
            </w:pPr>
          </w:p>
        </w:tc>
      </w:tr>
      <w:tr w:rsidR="007A257F" w14:paraId="63A717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2247C" w14:textId="77777777" w:rsidR="007A257F" w:rsidRDefault="00E36344">
            <w:pPr>
              <w:rPr>
                <w:sz w:val="2"/>
              </w:rPr>
            </w:pPr>
            <w:r>
              <w:pict w14:anchorId="77B456A7">
                <v:shape id="_x0000_i1051" type="#_x0000_t75" style="width:11.7pt;height:11.7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5B40" w14:textId="77777777" w:rsidR="007A257F" w:rsidRDefault="007A25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748C" w14:textId="77777777" w:rsidR="007A257F" w:rsidRDefault="004105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C4E66C6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6C974D4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99393A6" w14:textId="77777777" w:rsidR="007A257F" w:rsidRDefault="007A257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D942EB5" w14:textId="77777777" w:rsidR="007A257F" w:rsidRDefault="00410547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A257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8D0A2B5" w14:textId="77777777" w:rsidR="007A257F" w:rsidRDefault="00410547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-CT"/>
      <w:bookmarkStart w:id="27" w:name="_Toc221266112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6FEC222" w14:textId="77777777" w:rsidR="007A257F" w:rsidRPr="00D37679" w:rsidRDefault="00410547">
      <w:pPr>
        <w:spacing w:after="60" w:line="240" w:lineRule="exact"/>
        <w:rPr>
          <w:lang w:val="fr-FR"/>
        </w:rPr>
      </w:pPr>
      <w:r w:rsidRPr="00D3767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257F" w14:paraId="1F6BE1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7E06" w14:textId="77777777" w:rsidR="007A257F" w:rsidRDefault="00410547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186B1" w14:textId="77777777" w:rsidR="007A257F" w:rsidRDefault="00410547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1E52" w14:textId="77777777" w:rsidR="007A257F" w:rsidRDefault="00410547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30D1" w14:textId="77777777" w:rsidR="007A257F" w:rsidRDefault="00410547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5EE693AC" w14:textId="77777777" w:rsidR="007A257F" w:rsidRDefault="00410547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0DD7" w14:textId="77777777" w:rsidR="007A257F" w:rsidRDefault="00410547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7A257F" w14:paraId="4DC31D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9088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1EA79DC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2B51DF90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7EFA6DB4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684F7CC9" w14:textId="77777777" w:rsidR="007A257F" w:rsidRDefault="007A257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32886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8008" w14:textId="77777777" w:rsidR="007A257F" w:rsidRDefault="007A25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AD90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547E" w14:textId="77777777" w:rsidR="007A257F" w:rsidRDefault="007A257F"/>
        </w:tc>
      </w:tr>
      <w:tr w:rsidR="007A257F" w14:paraId="0E7D72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D608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B2EDB74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5FA5D638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7817FD74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B63468C" w14:textId="77777777" w:rsidR="007A257F" w:rsidRDefault="007A257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48FE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13D6" w14:textId="77777777" w:rsidR="007A257F" w:rsidRDefault="007A25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D13C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BB221" w14:textId="77777777" w:rsidR="007A257F" w:rsidRDefault="007A257F"/>
        </w:tc>
      </w:tr>
      <w:tr w:rsidR="007A257F" w14:paraId="06BC89A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1CDB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287F08B4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2C7DA0B5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A8B05E2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726DAFE7" w14:textId="77777777" w:rsidR="007A257F" w:rsidRDefault="007A257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13F8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51664" w14:textId="77777777" w:rsidR="007A257F" w:rsidRDefault="007A25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D991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3E0F" w14:textId="77777777" w:rsidR="007A257F" w:rsidRDefault="007A257F"/>
        </w:tc>
      </w:tr>
      <w:tr w:rsidR="007A257F" w14:paraId="64C579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07F0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31B22DDF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B9699E2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7B9A2CB8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64B282D5" w14:textId="77777777" w:rsidR="007A257F" w:rsidRDefault="007A257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061D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4D1D" w14:textId="77777777" w:rsidR="007A257F" w:rsidRDefault="007A25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55C9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FCA6C" w14:textId="77777777" w:rsidR="007A257F" w:rsidRDefault="007A257F"/>
        </w:tc>
      </w:tr>
      <w:tr w:rsidR="007A257F" w14:paraId="3610CC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D123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610BD320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DAF614C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C345EF3" w14:textId="77777777" w:rsidR="007A257F" w:rsidRDefault="00410547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02B6EEA" w14:textId="77777777" w:rsidR="007A257F" w:rsidRDefault="007A257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CA5F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25D4E" w14:textId="77777777" w:rsidR="007A257F" w:rsidRDefault="007A25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350E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A2B02" w14:textId="77777777" w:rsidR="007A257F" w:rsidRDefault="007A257F"/>
        </w:tc>
      </w:tr>
      <w:tr w:rsidR="007A257F" w14:paraId="1373310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511F8" w14:textId="77777777" w:rsidR="007A257F" w:rsidRDefault="007A257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1F19" w14:textId="77777777" w:rsidR="007A257F" w:rsidRDefault="00410547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F147" w14:textId="77777777" w:rsidR="007A257F" w:rsidRDefault="007A25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F98C" w14:textId="77777777" w:rsidR="007A257F" w:rsidRDefault="007A25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5803" w14:textId="77777777" w:rsidR="007A257F" w:rsidRDefault="007A257F"/>
        </w:tc>
      </w:tr>
    </w:tbl>
    <w:p w14:paraId="452B9289" w14:textId="77777777" w:rsidR="007A257F" w:rsidRDefault="007A257F"/>
    <w:sectPr w:rsidR="007A257F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E402B" w14:textId="77777777" w:rsidR="004516E0" w:rsidRDefault="004516E0">
      <w:r>
        <w:separator/>
      </w:r>
    </w:p>
  </w:endnote>
  <w:endnote w:type="continuationSeparator" w:id="0">
    <w:p w14:paraId="1100AC9B" w14:textId="77777777" w:rsidR="004516E0" w:rsidRDefault="0045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E4BC3" w14:textId="77777777" w:rsidR="007A257F" w:rsidRDefault="007A257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57F" w14:paraId="6AD249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2D3D99" w14:textId="77777777" w:rsidR="007A257F" w:rsidRDefault="0041054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2026_TX_CCI_0003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A0F48A" w14:textId="77777777" w:rsidR="007A257F" w:rsidRDefault="0041054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F88DC" w14:textId="77777777" w:rsidR="007A257F" w:rsidRDefault="0041054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982502B" w14:textId="77777777" w:rsidR="007A257F" w:rsidRPr="00D37679" w:rsidRDefault="007A257F">
    <w:pPr>
      <w:spacing w:after="140" w:line="240" w:lineRule="exact"/>
      <w:rPr>
        <w:lang w:val="fr-FR"/>
      </w:rPr>
    </w:pPr>
  </w:p>
  <w:p w14:paraId="074A38FF" w14:textId="77777777" w:rsidR="007A257F" w:rsidRPr="00D37679" w:rsidRDefault="007A257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57F" w14:paraId="0F3717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794B07" w14:textId="77777777" w:rsidR="007A257F" w:rsidRDefault="0041054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2026_TX_CCI_0003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4034D1" w14:textId="77777777" w:rsidR="007A257F" w:rsidRDefault="0041054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1049" w14:textId="77777777" w:rsidR="007A257F" w:rsidRDefault="0041054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F6A8FB8" w14:textId="77777777" w:rsidR="007A257F" w:rsidRPr="00D37679" w:rsidRDefault="007A257F">
    <w:pPr>
      <w:spacing w:after="140" w:line="240" w:lineRule="exact"/>
      <w:rPr>
        <w:lang w:val="fr-FR"/>
      </w:rPr>
    </w:pPr>
  </w:p>
  <w:p w14:paraId="26185F76" w14:textId="77777777" w:rsidR="007A257F" w:rsidRPr="00D37679" w:rsidRDefault="007A257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57F" w14:paraId="26BFE1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12EEA3" w14:textId="77777777" w:rsidR="007A257F" w:rsidRDefault="0041054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2026_TX_CCI_0003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59A29B" w14:textId="77777777" w:rsidR="007A257F" w:rsidRDefault="0041054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8646A" w14:textId="77777777" w:rsidR="007A257F" w:rsidRDefault="0041054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8E0EF60" w14:textId="77777777" w:rsidR="007A257F" w:rsidRDefault="007A257F">
    <w:pPr>
      <w:spacing w:after="140" w:line="240" w:lineRule="exact"/>
    </w:pPr>
  </w:p>
  <w:p w14:paraId="684C30E8" w14:textId="77777777" w:rsidR="007A257F" w:rsidRDefault="007A257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257F" w14:paraId="65611FC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D1803" w14:textId="77777777" w:rsidR="007A257F" w:rsidRDefault="0041054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2026_TX_CCI_0003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8EFBDE" w14:textId="77777777" w:rsidR="007A257F" w:rsidRDefault="0041054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257F" w14:paraId="4DE5F6E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EA672E" w14:textId="77777777" w:rsidR="007A257F" w:rsidRDefault="00410547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n°: 2026_TX_CCI_0003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851791" w14:textId="77777777" w:rsidR="007A257F" w:rsidRDefault="00410547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0BB4A" w14:textId="77777777" w:rsidR="004516E0" w:rsidRDefault="004516E0">
      <w:r>
        <w:separator/>
      </w:r>
    </w:p>
  </w:footnote>
  <w:footnote w:type="continuationSeparator" w:id="0">
    <w:p w14:paraId="569CB963" w14:textId="77777777" w:rsidR="004516E0" w:rsidRDefault="00451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57F"/>
    <w:rsid w:val="003919FE"/>
    <w:rsid w:val="00410547"/>
    <w:rsid w:val="004516E0"/>
    <w:rsid w:val="007A257F"/>
    <w:rsid w:val="008D6F1D"/>
    <w:rsid w:val="009D7D4B"/>
    <w:rsid w:val="00AB3077"/>
    <w:rsid w:val="00BF6655"/>
    <w:rsid w:val="00D37679"/>
    <w:rsid w:val="00E3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E3EFE"/>
  <w15:docId w15:val="{E5A5DDD5-6AE7-4B30-8E46-B0592532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1682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DUFOUR Clémence</cp:lastModifiedBy>
  <cp:revision>4</cp:revision>
  <dcterms:created xsi:type="dcterms:W3CDTF">2026-02-06T09:24:00Z</dcterms:created>
  <dcterms:modified xsi:type="dcterms:W3CDTF">2026-02-13T13:19:00Z</dcterms:modified>
</cp:coreProperties>
</file>